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D4758" w14:textId="77777777" w:rsidR="005C1A04" w:rsidRDefault="005C1A04"/>
    <w:tbl>
      <w:tblPr>
        <w:tblStyle w:val="11"/>
        <w:tblW w:w="21538" w:type="dxa"/>
        <w:tblLayout w:type="fixed"/>
        <w:tblLook w:val="04A0" w:firstRow="1" w:lastRow="0" w:firstColumn="1" w:lastColumn="0" w:noHBand="0" w:noVBand="1"/>
      </w:tblPr>
      <w:tblGrid>
        <w:gridCol w:w="567"/>
        <w:gridCol w:w="8073"/>
        <w:gridCol w:w="12898"/>
      </w:tblGrid>
      <w:tr w:rsidR="000723E4" w:rsidRPr="000723E4" w14:paraId="0091D7A8" w14:textId="77777777" w:rsidTr="000723E4">
        <w:trPr>
          <w:trHeight w:val="127"/>
        </w:trPr>
        <w:tc>
          <w:tcPr>
            <w:tcW w:w="567" w:type="dxa"/>
            <w:shd w:val="clear" w:color="000000" w:fill="FFF2CC"/>
          </w:tcPr>
          <w:p w14:paraId="19FF7BBE" w14:textId="77777777" w:rsidR="000723E4" w:rsidRPr="000723E4" w:rsidRDefault="000723E4" w:rsidP="000723E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723E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93ADAAC" w14:textId="77777777" w:rsidR="000723E4" w:rsidRPr="000723E4" w:rsidRDefault="000723E4" w:rsidP="000723E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723E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1E3F098" w14:textId="77777777" w:rsidR="000723E4" w:rsidRPr="000723E4" w:rsidRDefault="000723E4" w:rsidP="000723E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723E4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0723E4" w:rsidRPr="000723E4" w14:paraId="1CE4995F" w14:textId="77777777" w:rsidTr="007E33D8">
        <w:trPr>
          <w:trHeight w:val="356"/>
        </w:trPr>
        <w:tc>
          <w:tcPr>
            <w:tcW w:w="567" w:type="dxa"/>
            <w:vMerge w:val="restart"/>
            <w:vAlign w:val="center"/>
          </w:tcPr>
          <w:p w14:paraId="760AF2BD" w14:textId="77777777" w:rsidR="000723E4" w:rsidRPr="000723E4" w:rsidRDefault="000723E4" w:rsidP="000723E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723E4">
              <w:rPr>
                <w:rFonts w:ascii="BIZ UDゴシック" w:eastAsia="BIZ UDゴシック" w:hAnsi="BIZ UDゴシック" w:cs="Mangal" w:hint="eastAsia"/>
              </w:rPr>
              <w:t>18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D0F2B08" w14:textId="77777777" w:rsidR="000723E4" w:rsidRPr="000723E4" w:rsidRDefault="000723E4" w:rsidP="000723E4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0723E4">
              <w:rPr>
                <w:rFonts w:ascii="BIZ UDPゴシック" w:eastAsia="BIZ UDPゴシック" w:hAnsi="BIZ UDPゴシック" w:cs="Mangal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9F2A659" w14:textId="77777777" w:rsidR="000723E4" w:rsidRPr="000723E4" w:rsidRDefault="000723E4" w:rsidP="000723E4">
            <w:pPr>
              <w:jc w:val="left"/>
              <w:rPr>
                <w:rFonts w:ascii="Arial" w:eastAsia="ＭＳ Ｐゴシック" w:hAnsi="Arial" w:cs="Arial"/>
              </w:rPr>
            </w:pPr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”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रिसाई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स्योउमेइस्यो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” (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विपद्बाट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प्रभावित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)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प्राप्त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गर्ने</w:t>
            </w:r>
            <w:proofErr w:type="spellEnd"/>
          </w:p>
        </w:tc>
      </w:tr>
      <w:tr w:rsidR="000723E4" w:rsidRPr="000723E4" w14:paraId="512FC1C3" w14:textId="77777777" w:rsidTr="007E33D8">
        <w:trPr>
          <w:trHeight w:val="859"/>
        </w:trPr>
        <w:tc>
          <w:tcPr>
            <w:tcW w:w="567" w:type="dxa"/>
            <w:vMerge/>
            <w:vAlign w:val="center"/>
          </w:tcPr>
          <w:p w14:paraId="08DCA0B7" w14:textId="77777777" w:rsidR="000723E4" w:rsidRPr="000723E4" w:rsidRDefault="000723E4" w:rsidP="000723E4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30E3FBC" w14:textId="77777777" w:rsidR="000723E4" w:rsidRPr="000723E4" w:rsidRDefault="000723E4" w:rsidP="000723E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0723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○り災証明書</w:t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・住居の被害程度を証明するものです。</w:t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・この証明書が必要な支援制度には、以下のようなものがあります。</w:t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723E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4AFCC11" w14:textId="77777777" w:rsidR="000723E4" w:rsidRPr="000723E4" w:rsidRDefault="000723E4" w:rsidP="000723E4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यसपटकको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भूकम्पले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निवास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आदिमा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त्यसको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प्रभाव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परे</w:t>
            </w:r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विभिन्न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राहतका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प्रबन्धहरू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प्रयोग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गर्नको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प्रमाणपत्रहरू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आवश्यक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पर्नेछ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विशेषगरी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विपद्बाट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प्रभावित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चाहिँ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कुराहरूमा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पेस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गर्नुपर्ने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हुन्छ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7346792" w14:textId="77777777" w:rsidR="000723E4" w:rsidRPr="000723E4" w:rsidRDefault="000723E4" w:rsidP="000723E4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0075F2C8" w14:textId="77777777" w:rsidR="000723E4" w:rsidRPr="000723E4" w:rsidRDefault="000723E4" w:rsidP="000723E4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0723E4">
              <w:rPr>
                <w:rFonts w:ascii="ＭＳ 明朝" w:eastAsia="ＭＳ 明朝" w:hAnsi="ＭＳ 明朝" w:cs="ＭＳ 明朝" w:hint="eastAsia"/>
                <w:color w:val="030303"/>
                <w:sz w:val="20"/>
                <w:szCs w:val="20"/>
                <w:shd w:val="clear" w:color="auto" w:fill="FFFFFF"/>
              </w:rPr>
              <w:sym w:font="Wingdings 2" w:char="F099"/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विपद्बाट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प्रभावित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proofErr w:type="spellEnd"/>
          </w:p>
          <w:p w14:paraId="47EF929C" w14:textId="77777777" w:rsidR="000723E4" w:rsidRPr="000723E4" w:rsidRDefault="000723E4" w:rsidP="000723E4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यसले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निवासमा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कत्तिको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क्षति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भयो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भन्ने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प्रमाणित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गर्छ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CD84E1A" w14:textId="77777777" w:rsidR="000723E4" w:rsidRPr="000723E4" w:rsidRDefault="000723E4" w:rsidP="000723E4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अनुसन्धान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क्षतिको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अवस्था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निरीक्षण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गर्नु</w:t>
            </w:r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पर्ने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यस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जारी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हुनको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समय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लाग्नेछ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139222D" w14:textId="77777777" w:rsidR="000723E4" w:rsidRPr="000723E4" w:rsidRDefault="000723E4" w:rsidP="000723E4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Arial" w:hAnsi="Mangal" w:cs="Mangal"/>
                <w:sz w:val="20"/>
                <w:szCs w:val="20"/>
              </w:rPr>
            </w:pP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यस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आवश्यक</w:t>
            </w:r>
            <w:r w:rsidRPr="000723E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ता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पर्ने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</w:rPr>
              <w:t>राहतका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</w:rPr>
              <w:t>प्रबन्धहरूमा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</w:rPr>
              <w:t>निम्न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</w:rPr>
              <w:t>कुराहरू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</w:rPr>
              <w:t>पर्छन्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>।</w:t>
            </w:r>
          </w:p>
          <w:p w14:paraId="27E0CCF3" w14:textId="77777777" w:rsidR="000723E4" w:rsidRPr="000723E4" w:rsidRDefault="000723E4" w:rsidP="000723E4">
            <w:pPr>
              <w:ind w:left="364"/>
              <w:jc w:val="left"/>
              <w:rPr>
                <w:rFonts w:ascii="Mangal" w:eastAsia="Arial" w:hAnsi="Mangal" w:cs="Mangal"/>
                <w:sz w:val="20"/>
                <w:szCs w:val="20"/>
              </w:rPr>
            </w:pP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विपद्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पीडितहरूको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जीवनयापन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पुनःनिर्माणको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लागि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आर्थिक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सहयोग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,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चन्दा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,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नागरिक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स्वास्थ्य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बिमाको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शुल्कमा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सहुलियत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,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विपत्ति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पछि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पुनःनिर्माण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गर्नको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लागि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घर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कर्जा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,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निवासको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अस्थायि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मर्मत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प्रणाली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,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अस्थायी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निवास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वा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सरकारी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निवासमा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बस्ने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व्यवस्था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,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पाठ्यपुस्तक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आदिको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निःशुल्क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वितरण</w:t>
            </w:r>
            <w:proofErr w:type="spellEnd"/>
            <w:r w:rsidRPr="000723E4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Arial" w:hAnsi="Mangal" w:cs="Mangal"/>
                <w:sz w:val="20"/>
                <w:szCs w:val="20"/>
                <w:lang w:bidi="ne-NP"/>
              </w:rPr>
              <w:t>आदि</w:t>
            </w:r>
            <w:proofErr w:type="spellEnd"/>
          </w:p>
          <w:p w14:paraId="76234D62" w14:textId="77777777" w:rsidR="000723E4" w:rsidRPr="000723E4" w:rsidRDefault="000723E4" w:rsidP="000723E4">
            <w:pPr>
              <w:jc w:val="left"/>
              <w:rPr>
                <w:rFonts w:ascii="Mangal" w:eastAsia="Arial" w:hAnsi="Mangal" w:cs="Mangal"/>
                <w:sz w:val="20"/>
                <w:szCs w:val="20"/>
              </w:rPr>
            </w:pPr>
          </w:p>
          <w:p w14:paraId="435C90E7" w14:textId="77777777" w:rsidR="000723E4" w:rsidRPr="000723E4" w:rsidRDefault="000723E4" w:rsidP="000723E4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0723E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देखि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प्रभावित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आवेदन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दिन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आवश्यक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पर्ने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कागजातहरू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अनुसन्धान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गरिने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तरिका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जारी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समय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कुराहरू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हरेक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स्थानीय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तह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अनुसार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फरक-फरक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हुन्छ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थप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जानकारीको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आफू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बसेको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स्थानीय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तहको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कार्यालयमा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सम्पर्क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0723E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4C431DBA" w14:textId="77777777" w:rsidR="000723E4" w:rsidRDefault="000723E4">
      <w:pPr>
        <w:rPr>
          <w:rFonts w:hint="eastAsia"/>
        </w:rPr>
      </w:pPr>
    </w:p>
    <w:sectPr w:rsidR="000723E4" w:rsidSect="000723E4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C20C" w14:textId="77777777" w:rsidR="000723E4" w:rsidRDefault="000723E4" w:rsidP="000723E4">
      <w:r>
        <w:separator/>
      </w:r>
    </w:p>
  </w:endnote>
  <w:endnote w:type="continuationSeparator" w:id="0">
    <w:p w14:paraId="768E1DC6" w14:textId="77777777" w:rsidR="000723E4" w:rsidRDefault="000723E4" w:rsidP="000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0FE8" w14:textId="0CC25BE6" w:rsidR="000723E4" w:rsidRDefault="000723E4" w:rsidP="000723E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8364" w14:textId="77777777" w:rsidR="000723E4" w:rsidRDefault="000723E4" w:rsidP="000723E4">
      <w:r>
        <w:separator/>
      </w:r>
    </w:p>
  </w:footnote>
  <w:footnote w:type="continuationSeparator" w:id="0">
    <w:p w14:paraId="3ED7967C" w14:textId="77777777" w:rsidR="000723E4" w:rsidRDefault="000723E4" w:rsidP="000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11"/>
    <w:multiLevelType w:val="hybridMultilevel"/>
    <w:tmpl w:val="1F001753"/>
    <w:lvl w:ilvl="0" w:tplc="7578F61A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E828E51C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28D254F8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1CC29E5E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F2D0B04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E4AE6C52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E30E1BD0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BE6B2CC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D2BC3336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60291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E4"/>
    <w:rsid w:val="000723E4"/>
    <w:rsid w:val="002C5AB0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49E0B"/>
  <w15:chartTrackingRefBased/>
  <w15:docId w15:val="{402EC5A9-C6BC-47AB-8B65-A775C127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3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3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3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3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3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3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3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3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23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23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2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2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2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2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2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23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23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2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3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2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3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2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3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23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2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23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23E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723E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7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2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23E4"/>
  </w:style>
  <w:style w:type="paragraph" w:styleId="ad">
    <w:name w:val="footer"/>
    <w:basedOn w:val="a"/>
    <w:link w:val="ae"/>
    <w:uiPriority w:val="99"/>
    <w:unhideWhenUsed/>
    <w:rsid w:val="000723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2024-12-09T06:24:00Z</dcterms:created>
  <dcterms:modified xsi:type="dcterms:W3CDTF">2024-12-09T06:28:00Z</dcterms:modified>
</cp:coreProperties>
</file>