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0F4C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855A1F" w:rsidRPr="00855A1F" w14:paraId="7DB8D666" w14:textId="77777777" w:rsidTr="00855A1F">
        <w:trPr>
          <w:trHeight w:val="127"/>
        </w:trPr>
        <w:tc>
          <w:tcPr>
            <w:tcW w:w="567" w:type="dxa"/>
            <w:shd w:val="clear" w:color="000000" w:fill="FFF2CC"/>
          </w:tcPr>
          <w:p w14:paraId="7D95FEA4" w14:textId="77777777" w:rsidR="00855A1F" w:rsidRPr="00855A1F" w:rsidRDefault="00855A1F" w:rsidP="00855A1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55A1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E56C6E5" w14:textId="77777777" w:rsidR="00855A1F" w:rsidRPr="00855A1F" w:rsidRDefault="00855A1F" w:rsidP="00855A1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55A1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2193FFE" w14:textId="77777777" w:rsidR="00855A1F" w:rsidRPr="00855A1F" w:rsidRDefault="00855A1F" w:rsidP="00855A1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55A1F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855A1F" w:rsidRPr="00855A1F" w14:paraId="1B4F9410" w14:textId="77777777" w:rsidTr="00100AF2">
        <w:trPr>
          <w:trHeight w:val="356"/>
        </w:trPr>
        <w:tc>
          <w:tcPr>
            <w:tcW w:w="567" w:type="dxa"/>
            <w:vMerge w:val="restart"/>
            <w:vAlign w:val="center"/>
          </w:tcPr>
          <w:p w14:paraId="3706132C" w14:textId="77777777" w:rsidR="00855A1F" w:rsidRPr="00855A1F" w:rsidRDefault="00855A1F" w:rsidP="00855A1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55A1F">
              <w:rPr>
                <w:rFonts w:ascii="BIZ UDゴシック" w:eastAsia="BIZ UDゴシック" w:hAnsi="BIZ UDゴシック" w:cs="Mangal" w:hint="eastAsia"/>
              </w:rPr>
              <w:t>18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F1A4C3B" w14:textId="77777777" w:rsidR="00855A1F" w:rsidRPr="00855A1F" w:rsidRDefault="00855A1F" w:rsidP="00855A1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855A1F">
              <w:rPr>
                <w:rFonts w:ascii="BIZ UDPゴシック" w:eastAsia="BIZ UDPゴシック" w:hAnsi="BIZ UDPゴシック" w:cs="Mangal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EEB7E0D" w14:textId="77777777" w:rsidR="00855A1F" w:rsidRPr="00855A1F" w:rsidRDefault="00855A1F" w:rsidP="00855A1F">
            <w:pPr>
              <w:jc w:val="left"/>
              <w:rPr>
                <w:rFonts w:ascii="Arial" w:eastAsia="ＭＳ Ｐゴシック" w:hAnsi="Arial" w:cs="Arial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>Получение свидетельства пострадавшего от стихийного бедствия</w:t>
            </w:r>
          </w:p>
        </w:tc>
      </w:tr>
      <w:tr w:rsidR="00855A1F" w:rsidRPr="00855A1F" w14:paraId="78E92218" w14:textId="77777777" w:rsidTr="00100AF2">
        <w:trPr>
          <w:trHeight w:val="859"/>
        </w:trPr>
        <w:tc>
          <w:tcPr>
            <w:tcW w:w="567" w:type="dxa"/>
            <w:vMerge/>
            <w:vAlign w:val="center"/>
          </w:tcPr>
          <w:p w14:paraId="56EFED66" w14:textId="77777777" w:rsidR="00855A1F" w:rsidRPr="00855A1F" w:rsidRDefault="00855A1F" w:rsidP="00855A1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D7335C0" w14:textId="77777777" w:rsidR="00855A1F" w:rsidRPr="00855A1F" w:rsidRDefault="00855A1F" w:rsidP="00855A1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○り災証明書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・住居の被害程度を証明するものです。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・この証明書が必要な支援制度には、以下のようなものがあります。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55A1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7E1DC78" w14:textId="77777777" w:rsidR="00855A1F" w:rsidRPr="00855A1F" w:rsidRDefault="00855A1F" w:rsidP="00855A1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>Людям, чьи дома были повреждены в результате землетрясения, потребуется несколько подтверждающих документов, чтобы воспользоваться различными системами поддержки. Чаще всего требуется предоставить Свидетельство пострадавшего от стихийного бедствия.</w:t>
            </w:r>
          </w:p>
          <w:p w14:paraId="0ED3B9A5" w14:textId="77777777" w:rsidR="00855A1F" w:rsidRPr="00855A1F" w:rsidRDefault="00855A1F" w:rsidP="00855A1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6B859E72" w14:textId="77777777" w:rsidR="00855A1F" w:rsidRPr="00855A1F" w:rsidRDefault="00855A1F" w:rsidP="00855A1F">
            <w:pPr>
              <w:ind w:left="227" w:hanging="227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sym w:font="Wingdings 2" w:char="F099"/>
            </w:r>
            <w:r w:rsidRPr="00855A1F">
              <w:rPr>
                <w:rFonts w:ascii="Arial" w:eastAsia="ＭＳ Ｐゴシック" w:hAnsi="Arial" w:cs="Arial"/>
                <w:lang w:val="ru-RU"/>
              </w:rPr>
              <w:tab/>
              <w:t>Свидетельство пострадавшего от СБ</w:t>
            </w:r>
          </w:p>
          <w:p w14:paraId="001C5B67" w14:textId="77777777" w:rsidR="00855A1F" w:rsidRPr="00855A1F" w:rsidRDefault="00855A1F" w:rsidP="00855A1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 xml:space="preserve">Это документ, свидетельствующий о размере ущерба, </w:t>
            </w:r>
            <w:r w:rsidRPr="00855A1F">
              <w:rPr>
                <w:rFonts w:ascii="Arial" w:eastAsia="ＭＳ Ｐゴシック" w:hAnsi="Arial" w:cs="Arial"/>
                <w:lang w:val="fr-FR"/>
              </w:rPr>
              <w:t>нанесенного</w:t>
            </w:r>
            <w:r w:rsidRPr="00855A1F">
              <w:rPr>
                <w:rFonts w:ascii="Arial" w:eastAsia="ＭＳ Ｐゴシック" w:hAnsi="Arial" w:cs="Arial"/>
                <w:lang w:val="ru-RU"/>
              </w:rPr>
              <w:t xml:space="preserve"> землетрясением вашему жилищу.</w:t>
            </w:r>
          </w:p>
          <w:p w14:paraId="5AEB25C1" w14:textId="77777777" w:rsidR="00855A1F" w:rsidRPr="00855A1F" w:rsidRDefault="00855A1F" w:rsidP="00855A1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 xml:space="preserve">На место выезжает специальная комиссия, </w:t>
            </w:r>
            <w:r w:rsidRPr="00855A1F">
              <w:rPr>
                <w:rFonts w:ascii="Arial" w:eastAsia="ＭＳ Ｐゴシック" w:hAnsi="Arial" w:cs="Arial"/>
                <w:lang w:val="fr-FR"/>
              </w:rPr>
              <w:t>которая</w:t>
            </w:r>
            <w:r w:rsidRPr="00855A1F">
              <w:rPr>
                <w:rFonts w:ascii="Arial" w:eastAsia="ＭＳ Ｐゴシック" w:hAnsi="Arial" w:cs="Arial"/>
                <w:lang w:val="ru-RU"/>
              </w:rPr>
              <w:t xml:space="preserve"> оценивает ущерб, поэтому для выдачи Свидетельства может потребоваться некоторое время.</w:t>
            </w:r>
          </w:p>
          <w:p w14:paraId="0A1444D2" w14:textId="77777777" w:rsidR="00855A1F" w:rsidRPr="00855A1F" w:rsidRDefault="00855A1F" w:rsidP="00855A1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>Данное Свидетельство требуется для получения следующих форм поддержки:</w:t>
            </w:r>
          </w:p>
          <w:p w14:paraId="46A0D6C6" w14:textId="77777777" w:rsidR="00855A1F" w:rsidRPr="00855A1F" w:rsidRDefault="00855A1F" w:rsidP="00855A1F">
            <w:pPr>
              <w:ind w:leftChars="140" w:left="29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>Пособие на восстановление быта жертв стихийных бедствий, пожертвования, частичное/полное освобождение от уплаты взносов по национальному медицинскому страхованию, кредит на восстановление жилища после стихийного бедствия, система аварийного ремонта жилья, пользование временным /государственным жильём, бесплатные учебники и т.д.</w:t>
            </w:r>
          </w:p>
          <w:p w14:paraId="235C4365" w14:textId="77777777" w:rsidR="00855A1F" w:rsidRPr="00855A1F" w:rsidRDefault="00855A1F" w:rsidP="00855A1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25924EE3" w14:textId="77777777" w:rsidR="00855A1F" w:rsidRPr="00855A1F" w:rsidRDefault="00855A1F" w:rsidP="00855A1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55A1F">
              <w:rPr>
                <w:rFonts w:ascii="Arial" w:eastAsia="ＭＳ Ｐゴシック" w:hAnsi="Arial" w:cs="Arial"/>
                <w:lang w:val="ru-RU"/>
              </w:rPr>
              <w:t>Документы, необходимые для подачи заявления на получение Свидетельства, а также методы проверки и период выдачи различаются в зависимости от муниципалитета. За подробностями следует обратиться в свой муниципалитет.</w:t>
            </w:r>
          </w:p>
        </w:tc>
      </w:tr>
    </w:tbl>
    <w:p w14:paraId="47229A1C" w14:textId="77777777" w:rsidR="00855A1F" w:rsidRPr="00855A1F" w:rsidRDefault="00855A1F">
      <w:pPr>
        <w:rPr>
          <w:rFonts w:hint="eastAsia"/>
          <w:lang w:val="ru-RU"/>
        </w:rPr>
      </w:pPr>
    </w:p>
    <w:sectPr w:rsidR="00855A1F" w:rsidRPr="00855A1F" w:rsidSect="00855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E206" w14:textId="77777777" w:rsidR="00855A1F" w:rsidRDefault="00855A1F" w:rsidP="00855A1F">
      <w:r>
        <w:separator/>
      </w:r>
    </w:p>
  </w:endnote>
  <w:endnote w:type="continuationSeparator" w:id="0">
    <w:p w14:paraId="1804CA0D" w14:textId="77777777" w:rsidR="00855A1F" w:rsidRDefault="00855A1F" w:rsidP="0085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BA3B" w14:textId="77777777" w:rsidR="00855A1F" w:rsidRDefault="00855A1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9168" w14:textId="5460E3F1" w:rsidR="00855A1F" w:rsidRDefault="00855A1F" w:rsidP="00855A1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6002" w14:textId="77777777" w:rsidR="00855A1F" w:rsidRDefault="00855A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A9D7" w14:textId="77777777" w:rsidR="00855A1F" w:rsidRDefault="00855A1F" w:rsidP="00855A1F">
      <w:r>
        <w:separator/>
      </w:r>
    </w:p>
  </w:footnote>
  <w:footnote w:type="continuationSeparator" w:id="0">
    <w:p w14:paraId="20BE3B0C" w14:textId="77777777" w:rsidR="00855A1F" w:rsidRDefault="00855A1F" w:rsidP="0085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55EC" w14:textId="77777777" w:rsidR="00855A1F" w:rsidRDefault="00855A1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4993" w14:textId="77777777" w:rsidR="00855A1F" w:rsidRDefault="00855A1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1C3B" w14:textId="77777777" w:rsidR="00855A1F" w:rsidRDefault="00855A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1F"/>
    <w:rsid w:val="002C5AB0"/>
    <w:rsid w:val="005C1A04"/>
    <w:rsid w:val="006B736A"/>
    <w:rsid w:val="00855A1F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0F29E"/>
  <w15:chartTrackingRefBased/>
  <w15:docId w15:val="{5BCEECA1-45DD-42BA-B2B0-6593F7B0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A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5A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5A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5A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5A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5A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A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5A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5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5A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5A1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55A1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5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5A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5A1F"/>
  </w:style>
  <w:style w:type="paragraph" w:styleId="ad">
    <w:name w:val="footer"/>
    <w:basedOn w:val="a"/>
    <w:link w:val="ae"/>
    <w:uiPriority w:val="99"/>
    <w:unhideWhenUsed/>
    <w:rsid w:val="00855A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2024-12-13T02:07:00Z</dcterms:created>
  <dcterms:modified xsi:type="dcterms:W3CDTF">2024-12-13T02:08:00Z</dcterms:modified>
</cp:coreProperties>
</file>